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10FCA" w14:textId="77777777" w:rsidR="002309C3" w:rsidRPr="002309C3" w:rsidRDefault="00283474" w:rsidP="002309C3">
      <w:pPr>
        <w:jc w:val="center"/>
        <w:rPr>
          <w:rFonts w:ascii="Arial" w:hAnsi="Arial"/>
        </w:rPr>
      </w:pPr>
      <w:r>
        <w:rPr>
          <w:rFonts w:ascii="Arial" w:hAnsi="Arial"/>
        </w:rPr>
        <w:t>G</w:t>
      </w:r>
      <w:r w:rsidR="002309C3" w:rsidRPr="002309C3">
        <w:rPr>
          <w:rFonts w:ascii="Arial" w:hAnsi="Arial"/>
        </w:rPr>
        <w:t>eneral Aviation Joint Steering Committee</w:t>
      </w:r>
    </w:p>
    <w:p w14:paraId="26410FCB" w14:textId="130D6355" w:rsidR="00714427" w:rsidRDefault="002309C3" w:rsidP="002309C3">
      <w:pPr>
        <w:jc w:val="center"/>
        <w:rPr>
          <w:rFonts w:ascii="Arial" w:hAnsi="Arial"/>
        </w:rPr>
      </w:pPr>
      <w:r w:rsidRPr="002309C3">
        <w:rPr>
          <w:rFonts w:ascii="Arial" w:hAnsi="Arial"/>
        </w:rPr>
        <w:t>Loss of Control Working Group</w:t>
      </w:r>
      <w:r w:rsidR="00804107">
        <w:rPr>
          <w:rFonts w:ascii="Arial" w:hAnsi="Arial"/>
        </w:rPr>
        <w:t xml:space="preserve"> 1</w:t>
      </w:r>
    </w:p>
    <w:p w14:paraId="03A86496" w14:textId="28C3AB09" w:rsidR="003475C1" w:rsidRPr="002309C3" w:rsidRDefault="003475C1" w:rsidP="003475C1">
      <w:pPr>
        <w:jc w:val="center"/>
        <w:rPr>
          <w:rFonts w:ascii="Arial" w:hAnsi="Arial"/>
        </w:rPr>
      </w:pPr>
      <w:r>
        <w:rPr>
          <w:rFonts w:ascii="Arial" w:hAnsi="Arial" w:cs="Arial"/>
          <w:b/>
        </w:rPr>
        <w:t>Stabilized Approach and Landing</w:t>
      </w:r>
    </w:p>
    <w:p w14:paraId="26410FCC" w14:textId="77777777" w:rsidR="00283474" w:rsidRDefault="00283474" w:rsidP="00283474">
      <w:pPr>
        <w:rPr>
          <w:rFonts w:ascii="Arial" w:hAnsi="Arial"/>
        </w:rPr>
      </w:pPr>
    </w:p>
    <w:p w14:paraId="26410FCD" w14:textId="522D5343"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2FE02422" w14:textId="03283994" w:rsidR="003475C1" w:rsidRPr="003475C1" w:rsidRDefault="003475C1" w:rsidP="003475C1">
      <w:pPr>
        <w:ind w:left="2880" w:firstLine="720"/>
        <w:rPr>
          <w:rFonts w:ascii="Arial" w:hAnsi="Arial"/>
        </w:rPr>
      </w:pPr>
      <w:r w:rsidRPr="003475C1">
        <w:rPr>
          <w:rFonts w:ascii="Arial" w:hAnsi="Arial"/>
        </w:rPr>
        <w:t>2017/10-13-117 (I) PP</w:t>
      </w:r>
    </w:p>
    <w:p w14:paraId="26410FCE" w14:textId="77777777" w:rsidR="002309C3" w:rsidRDefault="002309C3">
      <w:pPr>
        <w:rPr>
          <w:rFonts w:ascii="Arial" w:hAnsi="Arial"/>
        </w:rPr>
      </w:pPr>
    </w:p>
    <w:p w14:paraId="26410FCF"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26410FD0" w14:textId="77777777" w:rsidR="002309C3" w:rsidRDefault="002309C3">
      <w:pPr>
        <w:rPr>
          <w:rFonts w:ascii="Arial" w:hAnsi="Arial"/>
        </w:rPr>
      </w:pPr>
    </w:p>
    <w:p w14:paraId="26410FD1"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A80223">
        <w:rPr>
          <w:rFonts w:ascii="Arial" w:hAnsi="Arial" w:cs="Arial"/>
          <w:b/>
        </w:rPr>
        <w:t>September 2018</w:t>
      </w:r>
    </w:p>
    <w:p w14:paraId="26410FD2" w14:textId="77777777" w:rsidR="005F4F86" w:rsidRDefault="005F4F86" w:rsidP="00592FD7">
      <w:pPr>
        <w:spacing w:after="120"/>
        <w:rPr>
          <w:rFonts w:ascii="Arial" w:hAnsi="Arial" w:cs="Arial"/>
          <w:b/>
          <w:u w:val="single"/>
        </w:rPr>
      </w:pPr>
    </w:p>
    <w:p w14:paraId="26410FD3" w14:textId="77777777"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8F0E41">
        <w:rPr>
          <w:rFonts w:ascii="Arial" w:hAnsi="Arial" w:cs="Arial"/>
          <w:b/>
        </w:rPr>
        <w:t>Stabilized Approach and Landing</w:t>
      </w:r>
      <w:r w:rsidR="00592FD7" w:rsidRPr="00592FD7">
        <w:rPr>
          <w:rFonts w:ascii="Arial" w:hAnsi="Arial" w:cs="Arial"/>
          <w:b/>
        </w:rPr>
        <w:t xml:space="preserve"> (SE</w:t>
      </w:r>
      <w:r w:rsidR="00E90BBC">
        <w:rPr>
          <w:rFonts w:ascii="Arial" w:hAnsi="Arial" w:cs="Arial"/>
          <w:b/>
        </w:rPr>
        <w:t xml:space="preserve"> </w:t>
      </w:r>
      <w:r w:rsidR="008F0E41">
        <w:rPr>
          <w:rFonts w:ascii="Arial" w:hAnsi="Arial" w:cs="Arial"/>
          <w:b/>
        </w:rPr>
        <w:t>10</w:t>
      </w:r>
      <w:r w:rsidR="00592FD7" w:rsidRPr="00592FD7">
        <w:rPr>
          <w:rFonts w:ascii="Arial" w:hAnsi="Arial" w:cs="Arial"/>
          <w:b/>
        </w:rPr>
        <w:t xml:space="preserve"> Output </w:t>
      </w:r>
      <w:r w:rsidR="008F0E41">
        <w:rPr>
          <w:rFonts w:ascii="Arial" w:hAnsi="Arial" w:cs="Arial"/>
          <w:b/>
        </w:rPr>
        <w:t>1</w:t>
      </w:r>
      <w:r w:rsidR="00592FD7" w:rsidRPr="00592FD7">
        <w:rPr>
          <w:rFonts w:ascii="Arial" w:hAnsi="Arial" w:cs="Arial"/>
          <w:b/>
        </w:rPr>
        <w:t xml:space="preserve">) </w:t>
      </w:r>
    </w:p>
    <w:p w14:paraId="26410FD4" w14:textId="77777777"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emphasizing the best practices regarding </w:t>
      </w:r>
      <w:r w:rsidR="008F0E41">
        <w:rPr>
          <w:rFonts w:ascii="Arial" w:hAnsi="Arial" w:cs="Arial"/>
        </w:rPr>
        <w:t>stabilized approach and go around</w:t>
      </w:r>
      <w:r w:rsidRPr="00B27214">
        <w:rPr>
          <w:rFonts w:ascii="Arial" w:hAnsi="Arial" w:cs="Arial"/>
        </w:rPr>
        <w:t xml:space="preserve"> techniques.</w:t>
      </w:r>
    </w:p>
    <w:p w14:paraId="26410FD5" w14:textId="77777777" w:rsidR="00BE44C8" w:rsidRDefault="00BE44C8" w:rsidP="00BE44C8">
      <w:pPr>
        <w:rPr>
          <w:rFonts w:ascii="Arial" w:hAnsi="Arial" w:cs="Arial"/>
          <w:b/>
        </w:rPr>
      </w:pPr>
    </w:p>
    <w:p w14:paraId="26410FD6"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26410FD7" w14:textId="77777777" w:rsidR="00BE44C8" w:rsidRDefault="00BE44C8">
      <w:pPr>
        <w:rPr>
          <w:rFonts w:ascii="Arial" w:hAnsi="Arial"/>
          <w:b/>
          <w:u w:val="single"/>
        </w:rPr>
      </w:pPr>
    </w:p>
    <w:p w14:paraId="26410FD8" w14:textId="77777777" w:rsidR="00735AAE" w:rsidRDefault="00B27214" w:rsidP="008F0E41">
      <w:pPr>
        <w:rPr>
          <w:rFonts w:ascii="Arial" w:hAnsi="Arial" w:cs="Arial"/>
        </w:rPr>
      </w:pPr>
      <w:r w:rsidRPr="00A56C4E">
        <w:rPr>
          <w:rFonts w:ascii="Arial" w:hAnsi="Arial" w:cs="Arial"/>
        </w:rPr>
        <w:t xml:space="preserve">The air carrier industry has embraced </w:t>
      </w:r>
      <w:r w:rsidR="008F0E41">
        <w:rPr>
          <w:rFonts w:ascii="Arial" w:hAnsi="Arial" w:cs="Arial"/>
        </w:rPr>
        <w:t>stabilized approach concepts as a means to ensure safe operations during critical phases of flight</w:t>
      </w:r>
      <w:r w:rsidRPr="00A56C4E">
        <w:rPr>
          <w:rFonts w:ascii="Arial" w:hAnsi="Arial" w:cs="Arial"/>
        </w:rPr>
        <w:t xml:space="preserve">. </w:t>
      </w:r>
      <w:r w:rsidR="008F0E41">
        <w:rPr>
          <w:rFonts w:ascii="Arial" w:hAnsi="Arial" w:cs="Arial"/>
        </w:rPr>
        <w:t xml:space="preserve">Airline flight crews are trained and tested on establishing and maintaining stabilized approaches and to immediately initiate a go around if stabilized approach criteria are not met.  This has led to a dramatic decrease in approach and landing mishaps.  General aviation pilots can also increase the safety of their approach and landing operations by adhering to stabilized approach criteria. </w:t>
      </w:r>
    </w:p>
    <w:p w14:paraId="26410FD9" w14:textId="77777777" w:rsidR="00B27214" w:rsidRDefault="00B27214">
      <w:pPr>
        <w:rPr>
          <w:sz w:val="22"/>
          <w:szCs w:val="22"/>
        </w:rPr>
      </w:pPr>
    </w:p>
    <w:p w14:paraId="26410FDA" w14:textId="77777777" w:rsidR="00283474" w:rsidRPr="0062332E" w:rsidRDefault="0062332E">
      <w:pPr>
        <w:rPr>
          <w:rFonts w:ascii="Arial" w:hAnsi="Arial"/>
          <w:b/>
          <w:u w:val="single"/>
        </w:rPr>
      </w:pPr>
      <w:r w:rsidRPr="0062332E">
        <w:rPr>
          <w:rFonts w:ascii="Arial" w:hAnsi="Arial"/>
          <w:b/>
          <w:u w:val="single"/>
        </w:rPr>
        <w:t>Teaching Points:</w:t>
      </w:r>
    </w:p>
    <w:p w14:paraId="26410FDB" w14:textId="77777777" w:rsidR="0062332E" w:rsidRDefault="0062332E">
      <w:pPr>
        <w:rPr>
          <w:rFonts w:ascii="Arial" w:hAnsi="Arial"/>
        </w:rPr>
      </w:pPr>
    </w:p>
    <w:p w14:paraId="26410FDC" w14:textId="77777777" w:rsidR="00592FD7" w:rsidRDefault="00BE44C8" w:rsidP="00592FD7">
      <w:pPr>
        <w:pStyle w:val="ListParagraph"/>
        <w:numPr>
          <w:ilvl w:val="0"/>
          <w:numId w:val="1"/>
        </w:numPr>
        <w:rPr>
          <w:rFonts w:ascii="Arial" w:hAnsi="Arial"/>
        </w:rPr>
      </w:pPr>
      <w:r>
        <w:rPr>
          <w:rFonts w:ascii="Arial" w:hAnsi="Arial"/>
        </w:rPr>
        <w:t xml:space="preserve">Discuss the </w:t>
      </w:r>
      <w:r w:rsidR="00B3476A">
        <w:rPr>
          <w:rFonts w:ascii="Arial" w:hAnsi="Arial"/>
        </w:rPr>
        <w:t>magnitude of approach and landing mishaps</w:t>
      </w:r>
      <w:bookmarkStart w:id="0" w:name="_GoBack"/>
      <w:bookmarkEnd w:id="0"/>
    </w:p>
    <w:p w14:paraId="26410FDD" w14:textId="77777777" w:rsidR="00BE44C8" w:rsidRDefault="001C44D1" w:rsidP="00BE44C8">
      <w:pPr>
        <w:pStyle w:val="ListParagraph"/>
        <w:numPr>
          <w:ilvl w:val="0"/>
          <w:numId w:val="1"/>
        </w:numPr>
        <w:rPr>
          <w:rFonts w:ascii="Arial" w:hAnsi="Arial"/>
        </w:rPr>
      </w:pPr>
      <w:r>
        <w:rPr>
          <w:rFonts w:ascii="Arial" w:hAnsi="Arial"/>
        </w:rPr>
        <w:t xml:space="preserve">Acquaint pilots with </w:t>
      </w:r>
      <w:r w:rsidR="00B3476A">
        <w:rPr>
          <w:rFonts w:ascii="Arial" w:hAnsi="Arial"/>
        </w:rPr>
        <w:t>the benefits of stabilized approach and landing operations</w:t>
      </w:r>
      <w:r w:rsidR="00BE44C8">
        <w:rPr>
          <w:rFonts w:ascii="Arial" w:hAnsi="Arial"/>
        </w:rPr>
        <w:t>.</w:t>
      </w:r>
    </w:p>
    <w:p w14:paraId="26410FDE" w14:textId="77777777" w:rsidR="00592FD7" w:rsidRDefault="00BE44C8" w:rsidP="00592FD7">
      <w:pPr>
        <w:pStyle w:val="ListParagraph"/>
        <w:numPr>
          <w:ilvl w:val="0"/>
          <w:numId w:val="1"/>
        </w:numPr>
        <w:rPr>
          <w:rFonts w:ascii="Arial" w:hAnsi="Arial"/>
        </w:rPr>
      </w:pPr>
      <w:r>
        <w:rPr>
          <w:rFonts w:ascii="Arial" w:hAnsi="Arial"/>
        </w:rPr>
        <w:t xml:space="preserve">Discuss </w:t>
      </w:r>
      <w:r w:rsidR="00B3476A">
        <w:rPr>
          <w:rFonts w:ascii="Arial" w:hAnsi="Arial"/>
        </w:rPr>
        <w:t>best practices for exercising the go around option</w:t>
      </w:r>
      <w:r w:rsidR="00735AAE">
        <w:rPr>
          <w:rFonts w:ascii="Arial" w:hAnsi="Arial"/>
        </w:rPr>
        <w:t>.</w:t>
      </w:r>
    </w:p>
    <w:p w14:paraId="26410FDF" w14:textId="77777777" w:rsidR="00283474" w:rsidRDefault="00BE2C55" w:rsidP="00592FD7">
      <w:pPr>
        <w:pStyle w:val="ListParagraph"/>
        <w:numPr>
          <w:ilvl w:val="0"/>
          <w:numId w:val="1"/>
        </w:numPr>
        <w:rPr>
          <w:rFonts w:ascii="Arial" w:hAnsi="Arial"/>
        </w:rPr>
      </w:pPr>
      <w:r>
        <w:rPr>
          <w:rFonts w:ascii="Arial" w:hAnsi="Arial"/>
        </w:rPr>
        <w:t xml:space="preserve">Encourage pilots to </w:t>
      </w:r>
      <w:r w:rsidR="00B3476A">
        <w:rPr>
          <w:rFonts w:ascii="Arial" w:hAnsi="Arial"/>
        </w:rPr>
        <w:t>make stabilized approaches and to go around if stabilized approach criteria are not met</w:t>
      </w:r>
      <w:r w:rsidR="00735AAE">
        <w:rPr>
          <w:rFonts w:ascii="Arial" w:hAnsi="Arial"/>
        </w:rPr>
        <w:t>.</w:t>
      </w:r>
    </w:p>
    <w:p w14:paraId="26410FE0" w14:textId="77777777" w:rsidR="002C5EC8" w:rsidRDefault="002C5EC8" w:rsidP="00BE2763">
      <w:pPr>
        <w:rPr>
          <w:rFonts w:ascii="Arial" w:hAnsi="Arial"/>
          <w:b/>
          <w:u w:val="single"/>
        </w:rPr>
      </w:pPr>
    </w:p>
    <w:p w14:paraId="26410FE1" w14:textId="77777777" w:rsidR="00804107" w:rsidRPr="0062332E" w:rsidRDefault="00BE2763" w:rsidP="00BE2763">
      <w:pPr>
        <w:rPr>
          <w:rFonts w:ascii="Arial" w:hAnsi="Arial"/>
          <w:b/>
          <w:u w:val="single"/>
        </w:rPr>
      </w:pPr>
      <w:r w:rsidRPr="0062332E">
        <w:rPr>
          <w:rFonts w:ascii="Arial" w:hAnsi="Arial"/>
          <w:b/>
          <w:u w:val="single"/>
        </w:rPr>
        <w:t>References:</w:t>
      </w:r>
    </w:p>
    <w:p w14:paraId="26410FE2" w14:textId="3A0CB4D0" w:rsidR="00BE2763" w:rsidRDefault="003933F3" w:rsidP="00BE2763">
      <w:pPr>
        <w:pStyle w:val="ListParagraph"/>
        <w:numPr>
          <w:ilvl w:val="0"/>
          <w:numId w:val="3"/>
        </w:numPr>
        <w:rPr>
          <w:rFonts w:ascii="Arial" w:hAnsi="Arial"/>
        </w:rPr>
      </w:pPr>
      <w:hyperlink r:id="rId11" w:history="1">
        <w:r w:rsidR="00B3476A" w:rsidRPr="00150BFA">
          <w:rPr>
            <w:rStyle w:val="Hyperlink"/>
            <w:rFonts w:ascii="Arial" w:hAnsi="Arial"/>
            <w:b/>
            <w:bCs/>
            <w:i/>
            <w:iCs/>
          </w:rPr>
          <w:t>Stabilized Approach and Go Around</w:t>
        </w:r>
        <w:r w:rsidR="00BE44C8" w:rsidRPr="00150BFA">
          <w:rPr>
            <w:rStyle w:val="Hyperlink"/>
            <w:rFonts w:ascii="Arial" w:hAnsi="Arial"/>
            <w:b/>
            <w:bCs/>
            <w:i/>
            <w:iCs/>
          </w:rPr>
          <w:t xml:space="preserve"> Power Point</w:t>
        </w:r>
      </w:hyperlink>
    </w:p>
    <w:p w14:paraId="26410FE3" w14:textId="77777777" w:rsidR="00EC62A6" w:rsidRDefault="007C377E" w:rsidP="00F25A7F">
      <w:pPr>
        <w:pStyle w:val="ListParagraph"/>
        <w:ind w:firstLine="720"/>
        <w:rPr>
          <w:rFonts w:ascii="Arial" w:hAnsi="Arial" w:cs="Arial"/>
        </w:rPr>
      </w:pPr>
      <w:r>
        <w:rPr>
          <w:rFonts w:ascii="Arial" w:hAnsi="Arial" w:cs="Arial"/>
        </w:rPr>
        <w:t xml:space="preserve">Insert </w:t>
      </w:r>
      <w:r w:rsidR="00BE44C8">
        <w:rPr>
          <w:rFonts w:ascii="Arial" w:hAnsi="Arial" w:cs="Arial"/>
        </w:rPr>
        <w:t>link to approved presentation</w:t>
      </w:r>
      <w:r>
        <w:rPr>
          <w:rFonts w:ascii="Arial" w:hAnsi="Arial" w:cs="Arial"/>
        </w:rPr>
        <w:t xml:space="preserve"> </w:t>
      </w:r>
      <w:r w:rsidR="00BE44C8">
        <w:rPr>
          <w:rFonts w:ascii="Arial" w:hAnsi="Arial" w:cs="Arial"/>
        </w:rPr>
        <w:t>here</w:t>
      </w:r>
    </w:p>
    <w:p w14:paraId="26410FE4" w14:textId="58F97FD8" w:rsidR="00BC2BE1" w:rsidRDefault="003933F3" w:rsidP="00BC2BE1">
      <w:pPr>
        <w:pStyle w:val="ListParagraph"/>
        <w:numPr>
          <w:ilvl w:val="0"/>
          <w:numId w:val="3"/>
        </w:numPr>
        <w:rPr>
          <w:rFonts w:ascii="Arial" w:hAnsi="Arial" w:cs="Arial"/>
        </w:rPr>
      </w:pPr>
      <w:hyperlink r:id="rId12" w:history="1">
        <w:r w:rsidR="00B3476A" w:rsidRPr="00150BFA">
          <w:rPr>
            <w:rStyle w:val="Hyperlink"/>
            <w:rFonts w:ascii="Arial" w:hAnsi="Arial" w:cs="Arial"/>
          </w:rPr>
          <w:t>Airplane Flying</w:t>
        </w:r>
        <w:r w:rsidR="00BC2BE1" w:rsidRPr="00150BFA">
          <w:rPr>
            <w:rStyle w:val="Hyperlink"/>
            <w:rFonts w:ascii="Arial" w:hAnsi="Arial" w:cs="Arial"/>
          </w:rPr>
          <w:t xml:space="preserve"> Handbook</w:t>
        </w:r>
        <w:r w:rsidR="00735AAE" w:rsidRPr="00150BFA">
          <w:rPr>
            <w:rStyle w:val="Hyperlink"/>
            <w:rFonts w:ascii="Arial" w:hAnsi="Arial" w:cs="Arial"/>
          </w:rPr>
          <w:t xml:space="preserve"> (FAA-H-8083-</w:t>
        </w:r>
        <w:r w:rsidR="00B3476A" w:rsidRPr="00150BFA">
          <w:rPr>
            <w:rStyle w:val="Hyperlink"/>
            <w:rFonts w:ascii="Arial" w:hAnsi="Arial" w:cs="Arial"/>
          </w:rPr>
          <w:t>3B</w:t>
        </w:r>
        <w:r w:rsidR="00735AAE" w:rsidRPr="00150BFA">
          <w:rPr>
            <w:rStyle w:val="Hyperlink"/>
            <w:rFonts w:ascii="Arial" w:hAnsi="Arial" w:cs="Arial"/>
          </w:rPr>
          <w:t>)</w:t>
        </w:r>
        <w:r w:rsidR="00BC2BE1" w:rsidRPr="00150BFA">
          <w:rPr>
            <w:rStyle w:val="Hyperlink"/>
            <w:rFonts w:ascii="Arial" w:hAnsi="Arial" w:cs="Arial"/>
          </w:rPr>
          <w:t xml:space="preserve"> – Chapter </w:t>
        </w:r>
        <w:r w:rsidR="00B3476A" w:rsidRPr="00150BFA">
          <w:rPr>
            <w:rStyle w:val="Hyperlink"/>
            <w:rFonts w:ascii="Arial" w:hAnsi="Arial" w:cs="Arial"/>
          </w:rPr>
          <w:t>Eight</w:t>
        </w:r>
      </w:hyperlink>
    </w:p>
    <w:p w14:paraId="26410FE6" w14:textId="77777777" w:rsidR="005F4F86" w:rsidRDefault="005F4F86" w:rsidP="000C5542">
      <w:pPr>
        <w:rPr>
          <w:rFonts w:ascii="Arial" w:hAnsi="Arial"/>
          <w:b/>
          <w:u w:val="single"/>
        </w:rPr>
      </w:pPr>
    </w:p>
    <w:p w14:paraId="26410FE7" w14:textId="77777777" w:rsidR="00A80223" w:rsidRDefault="00A80223" w:rsidP="00A80223">
      <w:pPr>
        <w:rPr>
          <w:rFonts w:ascii="Arial" w:hAnsi="Arial"/>
        </w:rPr>
      </w:pPr>
      <w:r w:rsidRPr="0062332E">
        <w:rPr>
          <w:rFonts w:ascii="Arial" w:hAnsi="Arial"/>
          <w:b/>
          <w:u w:val="single"/>
        </w:rPr>
        <w:t>IMPORTANT</w:t>
      </w:r>
      <w:r>
        <w:rPr>
          <w:rFonts w:ascii="Arial" w:hAnsi="Arial"/>
        </w:rPr>
        <w:t xml:space="preserve"> – Once you have completed outreach on this topic, please help us track the outreach you have done by entering a PTRS record.  </w:t>
      </w:r>
    </w:p>
    <w:p w14:paraId="26410FE8" w14:textId="77777777" w:rsidR="00A80223" w:rsidRPr="008604CA" w:rsidRDefault="00A80223" w:rsidP="00A80223">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A80223" w14:paraId="26410FF3" w14:textId="77777777" w:rsidTr="008E0C11">
        <w:tc>
          <w:tcPr>
            <w:tcW w:w="918" w:type="dxa"/>
          </w:tcPr>
          <w:p w14:paraId="26410FE9" w14:textId="77777777" w:rsidR="00A80223" w:rsidRDefault="00A80223" w:rsidP="008E0C11">
            <w:pPr>
              <w:jc w:val="center"/>
              <w:rPr>
                <w:rFonts w:ascii="Arial" w:hAnsi="Arial"/>
              </w:rPr>
            </w:pPr>
            <w:r w:rsidRPr="00E60D85">
              <w:rPr>
                <w:rFonts w:ascii="Arial" w:hAnsi="Arial"/>
                <w:sz w:val="16"/>
              </w:rPr>
              <w:t>PTRS Activity Code</w:t>
            </w:r>
          </w:p>
        </w:tc>
        <w:tc>
          <w:tcPr>
            <w:tcW w:w="810" w:type="dxa"/>
          </w:tcPr>
          <w:p w14:paraId="26410FEA" w14:textId="77777777" w:rsidR="00A80223" w:rsidRDefault="00A80223" w:rsidP="008E0C11">
            <w:pPr>
              <w:jc w:val="center"/>
              <w:rPr>
                <w:rFonts w:ascii="Arial" w:hAnsi="Arial"/>
              </w:rPr>
            </w:pPr>
            <w:r w:rsidRPr="00E60D85">
              <w:rPr>
                <w:rFonts w:ascii="Arial" w:hAnsi="Arial"/>
                <w:sz w:val="16"/>
              </w:rPr>
              <w:t>National Use</w:t>
            </w:r>
          </w:p>
        </w:tc>
        <w:tc>
          <w:tcPr>
            <w:tcW w:w="810" w:type="dxa"/>
          </w:tcPr>
          <w:p w14:paraId="26410FEB" w14:textId="77777777" w:rsidR="00A80223" w:rsidRDefault="00A80223" w:rsidP="008E0C11">
            <w:pPr>
              <w:jc w:val="center"/>
              <w:rPr>
                <w:rFonts w:ascii="Arial" w:hAnsi="Arial"/>
              </w:rPr>
            </w:pPr>
            <w:r w:rsidRPr="00E60D85">
              <w:rPr>
                <w:rFonts w:ascii="Arial" w:hAnsi="Arial"/>
                <w:sz w:val="16"/>
              </w:rPr>
              <w:t>Primary Area</w:t>
            </w:r>
          </w:p>
        </w:tc>
        <w:tc>
          <w:tcPr>
            <w:tcW w:w="630" w:type="dxa"/>
          </w:tcPr>
          <w:p w14:paraId="26410FEC" w14:textId="77777777" w:rsidR="00A80223" w:rsidRDefault="00A80223" w:rsidP="008E0C11">
            <w:pPr>
              <w:jc w:val="center"/>
              <w:rPr>
                <w:rFonts w:ascii="Arial" w:hAnsi="Arial"/>
              </w:rPr>
            </w:pPr>
            <w:r w:rsidRPr="00E60D85">
              <w:rPr>
                <w:rFonts w:ascii="Arial" w:hAnsi="Arial"/>
                <w:sz w:val="16"/>
              </w:rPr>
              <w:t>Key word</w:t>
            </w:r>
          </w:p>
        </w:tc>
        <w:tc>
          <w:tcPr>
            <w:tcW w:w="2610" w:type="dxa"/>
          </w:tcPr>
          <w:p w14:paraId="26410FED" w14:textId="77777777" w:rsidR="00A80223" w:rsidRPr="00E60D85" w:rsidRDefault="00A80223" w:rsidP="008E0C11">
            <w:pPr>
              <w:jc w:val="center"/>
              <w:rPr>
                <w:rFonts w:ascii="Arial" w:hAnsi="Arial"/>
                <w:sz w:val="16"/>
              </w:rPr>
            </w:pPr>
            <w:r w:rsidRPr="00E60D85">
              <w:rPr>
                <w:rFonts w:ascii="Arial" w:hAnsi="Arial"/>
                <w:sz w:val="16"/>
              </w:rPr>
              <w:t>Description</w:t>
            </w:r>
          </w:p>
        </w:tc>
        <w:tc>
          <w:tcPr>
            <w:tcW w:w="1170" w:type="dxa"/>
          </w:tcPr>
          <w:p w14:paraId="26410FEE" w14:textId="77777777" w:rsidR="00A80223" w:rsidRPr="00E60D85" w:rsidRDefault="00A80223" w:rsidP="008E0C11">
            <w:pPr>
              <w:jc w:val="center"/>
              <w:rPr>
                <w:rFonts w:ascii="Arial" w:hAnsi="Arial"/>
                <w:sz w:val="16"/>
              </w:rPr>
            </w:pPr>
            <w:r>
              <w:rPr>
                <w:rFonts w:ascii="Arial" w:hAnsi="Arial"/>
                <w:sz w:val="16"/>
              </w:rPr>
              <w:t>Performance Target</w:t>
            </w:r>
          </w:p>
        </w:tc>
        <w:tc>
          <w:tcPr>
            <w:tcW w:w="990" w:type="dxa"/>
          </w:tcPr>
          <w:p w14:paraId="26410FEF" w14:textId="77777777" w:rsidR="00A80223" w:rsidRDefault="00A80223" w:rsidP="008E0C11">
            <w:pPr>
              <w:jc w:val="center"/>
              <w:rPr>
                <w:rFonts w:ascii="Arial" w:hAnsi="Arial"/>
                <w:sz w:val="16"/>
              </w:rPr>
            </w:pPr>
            <w:r>
              <w:rPr>
                <w:rFonts w:ascii="Arial" w:hAnsi="Arial"/>
                <w:sz w:val="16"/>
              </w:rPr>
              <w:t>Due</w:t>
            </w:r>
          </w:p>
          <w:p w14:paraId="26410FF0" w14:textId="77777777" w:rsidR="00A80223" w:rsidRPr="00E60D85" w:rsidRDefault="00A80223" w:rsidP="008E0C11">
            <w:pPr>
              <w:jc w:val="center"/>
              <w:rPr>
                <w:rFonts w:ascii="Arial" w:hAnsi="Arial"/>
                <w:sz w:val="16"/>
              </w:rPr>
            </w:pPr>
            <w:r>
              <w:rPr>
                <w:rFonts w:ascii="Arial" w:hAnsi="Arial"/>
                <w:sz w:val="16"/>
              </w:rPr>
              <w:t>Date</w:t>
            </w:r>
          </w:p>
        </w:tc>
        <w:tc>
          <w:tcPr>
            <w:tcW w:w="1440" w:type="dxa"/>
          </w:tcPr>
          <w:p w14:paraId="26410FF1" w14:textId="77777777" w:rsidR="00A80223" w:rsidRDefault="00A80223" w:rsidP="008E0C11">
            <w:pPr>
              <w:jc w:val="center"/>
              <w:rPr>
                <w:rFonts w:ascii="Arial" w:hAnsi="Arial"/>
                <w:sz w:val="16"/>
              </w:rPr>
            </w:pPr>
            <w:r>
              <w:rPr>
                <w:rFonts w:ascii="Arial" w:hAnsi="Arial"/>
                <w:sz w:val="16"/>
              </w:rPr>
              <w:t>LDR</w:t>
            </w:r>
          </w:p>
          <w:p w14:paraId="26410FF2" w14:textId="77777777" w:rsidR="00A80223" w:rsidRPr="00E60D85" w:rsidRDefault="00A80223" w:rsidP="008E0C11">
            <w:pPr>
              <w:jc w:val="center"/>
              <w:rPr>
                <w:rFonts w:ascii="Arial" w:hAnsi="Arial"/>
                <w:b/>
                <w:sz w:val="16"/>
              </w:rPr>
            </w:pPr>
            <w:r>
              <w:rPr>
                <w:rFonts w:ascii="Arial" w:hAnsi="Arial"/>
                <w:b/>
                <w:sz w:val="16"/>
              </w:rPr>
              <w:t>12XXFAAST</w:t>
            </w:r>
          </w:p>
        </w:tc>
      </w:tr>
      <w:tr w:rsidR="00A80223" w14:paraId="26410FFC" w14:textId="77777777" w:rsidTr="008E0C11">
        <w:tc>
          <w:tcPr>
            <w:tcW w:w="918" w:type="dxa"/>
          </w:tcPr>
          <w:p w14:paraId="26410FF4" w14:textId="77777777" w:rsidR="00A80223" w:rsidRPr="00E60D85" w:rsidRDefault="00A80223" w:rsidP="008E0C11">
            <w:pPr>
              <w:jc w:val="center"/>
              <w:rPr>
                <w:rFonts w:ascii="Arial" w:hAnsi="Arial"/>
                <w:sz w:val="16"/>
              </w:rPr>
            </w:pPr>
            <w:r>
              <w:rPr>
                <w:rFonts w:ascii="Arial" w:hAnsi="Arial"/>
                <w:sz w:val="16"/>
              </w:rPr>
              <w:t>2685</w:t>
            </w:r>
          </w:p>
        </w:tc>
        <w:tc>
          <w:tcPr>
            <w:tcW w:w="810" w:type="dxa"/>
          </w:tcPr>
          <w:p w14:paraId="26410FF5" w14:textId="77777777" w:rsidR="00A80223" w:rsidRPr="00E60D85" w:rsidRDefault="00A80223" w:rsidP="008E0C11">
            <w:pPr>
              <w:jc w:val="center"/>
              <w:rPr>
                <w:rFonts w:ascii="Arial" w:hAnsi="Arial"/>
                <w:sz w:val="16"/>
              </w:rPr>
            </w:pPr>
            <w:r>
              <w:rPr>
                <w:rFonts w:ascii="Arial" w:hAnsi="Arial"/>
                <w:sz w:val="16"/>
              </w:rPr>
              <w:t>NPP14</w:t>
            </w:r>
          </w:p>
        </w:tc>
        <w:tc>
          <w:tcPr>
            <w:tcW w:w="810" w:type="dxa"/>
          </w:tcPr>
          <w:p w14:paraId="26410FF6" w14:textId="77777777" w:rsidR="00A80223" w:rsidRPr="00E60D85" w:rsidRDefault="00A80223" w:rsidP="008E0C11">
            <w:pPr>
              <w:jc w:val="center"/>
              <w:rPr>
                <w:rFonts w:ascii="Arial" w:hAnsi="Arial"/>
                <w:sz w:val="16"/>
              </w:rPr>
            </w:pPr>
            <w:r>
              <w:rPr>
                <w:rFonts w:ascii="Arial" w:hAnsi="Arial"/>
                <w:sz w:val="16"/>
              </w:rPr>
              <w:t>K</w:t>
            </w:r>
          </w:p>
        </w:tc>
        <w:tc>
          <w:tcPr>
            <w:tcW w:w="630" w:type="dxa"/>
          </w:tcPr>
          <w:p w14:paraId="26410FF7" w14:textId="77777777" w:rsidR="00A80223" w:rsidRPr="00E60D85" w:rsidRDefault="00A80223" w:rsidP="008E0C11">
            <w:pPr>
              <w:jc w:val="center"/>
              <w:rPr>
                <w:rFonts w:ascii="Arial" w:hAnsi="Arial"/>
                <w:sz w:val="16"/>
              </w:rPr>
            </w:pPr>
            <w:r>
              <w:rPr>
                <w:rFonts w:ascii="Arial" w:hAnsi="Arial"/>
                <w:sz w:val="16"/>
              </w:rPr>
              <w:t>032</w:t>
            </w:r>
          </w:p>
        </w:tc>
        <w:tc>
          <w:tcPr>
            <w:tcW w:w="2610" w:type="dxa"/>
          </w:tcPr>
          <w:p w14:paraId="26410FF8" w14:textId="77777777" w:rsidR="00A80223" w:rsidRPr="00E60D85" w:rsidRDefault="00A80223" w:rsidP="008E0C11">
            <w:pPr>
              <w:jc w:val="center"/>
              <w:rPr>
                <w:rFonts w:ascii="Arial" w:hAnsi="Arial"/>
                <w:sz w:val="16"/>
              </w:rPr>
            </w:pPr>
            <w:r>
              <w:rPr>
                <w:rFonts w:ascii="Arial" w:hAnsi="Arial"/>
                <w:sz w:val="16"/>
              </w:rPr>
              <w:t>Promote “Topic of the Month” within the FSDO area</w:t>
            </w:r>
          </w:p>
        </w:tc>
        <w:tc>
          <w:tcPr>
            <w:tcW w:w="1170" w:type="dxa"/>
          </w:tcPr>
          <w:p w14:paraId="26410FF9" w14:textId="77777777" w:rsidR="00A80223" w:rsidRPr="00E60D85" w:rsidRDefault="00A80223" w:rsidP="008E0C11">
            <w:pPr>
              <w:jc w:val="center"/>
              <w:rPr>
                <w:rFonts w:ascii="Arial" w:hAnsi="Arial"/>
                <w:sz w:val="16"/>
              </w:rPr>
            </w:pPr>
            <w:r>
              <w:rPr>
                <w:rFonts w:ascii="Arial" w:hAnsi="Arial"/>
                <w:sz w:val="16"/>
              </w:rPr>
              <w:t>1 per FSDO per month</w:t>
            </w:r>
          </w:p>
        </w:tc>
        <w:tc>
          <w:tcPr>
            <w:tcW w:w="990" w:type="dxa"/>
          </w:tcPr>
          <w:p w14:paraId="26410FFA" w14:textId="77777777" w:rsidR="00A80223" w:rsidRPr="00E60D85" w:rsidRDefault="00A80223" w:rsidP="008E0C11">
            <w:pPr>
              <w:jc w:val="center"/>
              <w:rPr>
                <w:rFonts w:ascii="Arial" w:hAnsi="Arial"/>
                <w:sz w:val="16"/>
              </w:rPr>
            </w:pPr>
            <w:r>
              <w:rPr>
                <w:rFonts w:ascii="Arial" w:hAnsi="Arial"/>
                <w:sz w:val="16"/>
              </w:rPr>
              <w:t>09/15/18</w:t>
            </w:r>
          </w:p>
        </w:tc>
        <w:tc>
          <w:tcPr>
            <w:tcW w:w="1440" w:type="dxa"/>
          </w:tcPr>
          <w:p w14:paraId="26410FFB" w14:textId="77777777" w:rsidR="00A80223" w:rsidRPr="00E60D85" w:rsidRDefault="00A80223" w:rsidP="008E0C11">
            <w:pPr>
              <w:jc w:val="center"/>
              <w:rPr>
                <w:rFonts w:ascii="Arial" w:hAnsi="Arial"/>
                <w:sz w:val="16"/>
              </w:rPr>
            </w:pPr>
            <w:r>
              <w:rPr>
                <w:rFonts w:ascii="Arial" w:hAnsi="Arial"/>
                <w:sz w:val="16"/>
              </w:rPr>
              <w:t>OR0100</w:t>
            </w:r>
          </w:p>
        </w:tc>
      </w:tr>
    </w:tbl>
    <w:p w14:paraId="26410FFD" w14:textId="77777777" w:rsidR="005F4F86" w:rsidRPr="00A80223" w:rsidRDefault="005F4F86" w:rsidP="000C5542">
      <w:pPr>
        <w:rPr>
          <w:rFonts w:ascii="Arial" w:hAnsi="Arial" w:cs="Arial"/>
          <w:b/>
        </w:rPr>
      </w:pPr>
    </w:p>
    <w:sectPr w:rsidR="005F4F86" w:rsidRPr="00A80223" w:rsidSect="00804107">
      <w:footerReference w:type="defaul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EAEF" w14:textId="77777777" w:rsidR="003933F3" w:rsidRDefault="003933F3" w:rsidP="00283474">
      <w:r>
        <w:separator/>
      </w:r>
    </w:p>
  </w:endnote>
  <w:endnote w:type="continuationSeparator" w:id="0">
    <w:p w14:paraId="214EA645" w14:textId="77777777" w:rsidR="003933F3" w:rsidRDefault="003933F3"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1005" w14:textId="075C6803"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3475C1">
      <w:rPr>
        <w:rFonts w:ascii="Arial" w:hAnsi="Arial" w:cs="Arial"/>
        <w:noProof/>
        <w:sz w:val="20"/>
        <w:szCs w:val="20"/>
      </w:rPr>
      <w:t>10/13/17</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3475C1">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4045D" w14:textId="77777777" w:rsidR="003933F3" w:rsidRDefault="003933F3" w:rsidP="00283474">
      <w:r>
        <w:separator/>
      </w:r>
    </w:p>
  </w:footnote>
  <w:footnote w:type="continuationSeparator" w:id="0">
    <w:p w14:paraId="6C8BF7E6" w14:textId="77777777" w:rsidR="003933F3" w:rsidRDefault="003933F3" w:rsidP="00283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17AD3"/>
    <w:multiLevelType w:val="hybridMultilevel"/>
    <w:tmpl w:val="F622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915B6"/>
    <w:rsid w:val="000B310E"/>
    <w:rsid w:val="000C1FE4"/>
    <w:rsid w:val="000C5542"/>
    <w:rsid w:val="00101EBB"/>
    <w:rsid w:val="001265A0"/>
    <w:rsid w:val="00150BFA"/>
    <w:rsid w:val="001514DB"/>
    <w:rsid w:val="00156835"/>
    <w:rsid w:val="001C37C2"/>
    <w:rsid w:val="001C44D1"/>
    <w:rsid w:val="001C6C55"/>
    <w:rsid w:val="001F6305"/>
    <w:rsid w:val="002309C3"/>
    <w:rsid w:val="002822C8"/>
    <w:rsid w:val="00283474"/>
    <w:rsid w:val="002C5EC8"/>
    <w:rsid w:val="0031306E"/>
    <w:rsid w:val="003404C9"/>
    <w:rsid w:val="003475C1"/>
    <w:rsid w:val="003933F3"/>
    <w:rsid w:val="003B1E05"/>
    <w:rsid w:val="0042558A"/>
    <w:rsid w:val="0043778A"/>
    <w:rsid w:val="004534BD"/>
    <w:rsid w:val="004550A5"/>
    <w:rsid w:val="004D190E"/>
    <w:rsid w:val="004F2A87"/>
    <w:rsid w:val="005559A3"/>
    <w:rsid w:val="00580B3C"/>
    <w:rsid w:val="00585ABD"/>
    <w:rsid w:val="00592FD7"/>
    <w:rsid w:val="00596C7F"/>
    <w:rsid w:val="005A30DA"/>
    <w:rsid w:val="005E62E4"/>
    <w:rsid w:val="005F4F86"/>
    <w:rsid w:val="0062332E"/>
    <w:rsid w:val="006D27FF"/>
    <w:rsid w:val="00714427"/>
    <w:rsid w:val="00721856"/>
    <w:rsid w:val="00735AAE"/>
    <w:rsid w:val="0073681C"/>
    <w:rsid w:val="007761F8"/>
    <w:rsid w:val="007967D1"/>
    <w:rsid w:val="007A13E9"/>
    <w:rsid w:val="007A235E"/>
    <w:rsid w:val="007C377E"/>
    <w:rsid w:val="00804107"/>
    <w:rsid w:val="008559E3"/>
    <w:rsid w:val="008604CA"/>
    <w:rsid w:val="008D546C"/>
    <w:rsid w:val="008F0E41"/>
    <w:rsid w:val="00911BEC"/>
    <w:rsid w:val="00964800"/>
    <w:rsid w:val="009B0AB7"/>
    <w:rsid w:val="00A56C4E"/>
    <w:rsid w:val="00A80223"/>
    <w:rsid w:val="00AA06EB"/>
    <w:rsid w:val="00AA0BFA"/>
    <w:rsid w:val="00AF5EA4"/>
    <w:rsid w:val="00B27214"/>
    <w:rsid w:val="00B3476A"/>
    <w:rsid w:val="00B554C8"/>
    <w:rsid w:val="00B678C1"/>
    <w:rsid w:val="00B76CF1"/>
    <w:rsid w:val="00BB03AB"/>
    <w:rsid w:val="00BC2BE1"/>
    <w:rsid w:val="00BE2763"/>
    <w:rsid w:val="00BE2C55"/>
    <w:rsid w:val="00BE44C8"/>
    <w:rsid w:val="00C4520D"/>
    <w:rsid w:val="00C456D8"/>
    <w:rsid w:val="00C766C5"/>
    <w:rsid w:val="00C76A72"/>
    <w:rsid w:val="00CC7802"/>
    <w:rsid w:val="00CE1BF3"/>
    <w:rsid w:val="00D830DA"/>
    <w:rsid w:val="00E03D8D"/>
    <w:rsid w:val="00E17CD5"/>
    <w:rsid w:val="00E72EC8"/>
    <w:rsid w:val="00E90BBC"/>
    <w:rsid w:val="00EC62A6"/>
    <w:rsid w:val="00F15A07"/>
    <w:rsid w:val="00F235D0"/>
    <w:rsid w:val="00F25A7F"/>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10FCA"/>
  <w14:defaultImageDpi w14:val="300"/>
  <w15:docId w15:val="{D2D8BC68-BE4A-45F5-90FD-8B874B14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A8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a.gov/regulations_policies/handbooks_manuals/aviation/airplane_handboo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o%09https:/avssp.faa.gov/avs/afsfaast/Approved%20Resources/NPP%20Resources/FY%202018%20NPP%20Resources/Operations/NPP%2014%20-%20Topic%20of%20the%20Month/12-Sep-Stabile%20Appch%20and%20Go-aroun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5YDFD77UPU3F-311-884</_dlc_DocId>
    <_dlc_DocIdUrl xmlns="04289566-cf42-4ce7-aa7c-2469c3d4502e">
      <Url>https://avssp.faa.gov/avs/afsfaast/_layouts/15/DocIdRedir.aspx?ID=5YDFD77UPU3F-311-884</Url>
      <Description>5YDFD77UPU3F-311-884</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B7F83D-FFF2-431C-8E57-2372E5CA8F8C}"/>
</file>

<file path=customXml/itemProps2.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3.xml><?xml version="1.0" encoding="utf-8"?>
<ds:datastoreItem xmlns:ds="http://schemas.openxmlformats.org/officeDocument/2006/customXml" ds:itemID="{71F45A46-8112-412E-BD42-FE29CEE752E2}">
  <ds:schemaRefs>
    <ds:schemaRef ds:uri="http://schemas.microsoft.com/office/2006/metadata/properties"/>
    <ds:schemaRef ds:uri="http://schemas.microsoft.com/office/infopath/2007/PartnerControls"/>
    <ds:schemaRef ds:uri="428a51a3-9dcf-4c6f-9a55-61372affcb0a"/>
  </ds:schemaRefs>
</ds:datastoreItem>
</file>

<file path=customXml/itemProps4.xml><?xml version="1.0" encoding="utf-8"?>
<ds:datastoreItem xmlns:ds="http://schemas.openxmlformats.org/officeDocument/2006/customXml" ds:itemID="{6DB9F161-2E5D-49D7-98A2-7BD721D539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Month-Sept-Sabilized Approach-NOTES</dc:title>
  <dc:creator>Kevin Clover</dc:creator>
  <cp:lastModifiedBy>Brunner, Felice (FAA)</cp:lastModifiedBy>
  <cp:revision>10</cp:revision>
  <dcterms:created xsi:type="dcterms:W3CDTF">2014-07-16T19:55:00Z</dcterms:created>
  <dcterms:modified xsi:type="dcterms:W3CDTF">2017-10-13T14:17:00Z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521bfe45-2421-4728-8527-b68efb2af430</vt:lpwstr>
  </property>
</Properties>
</file>