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F11" w14:textId="77777777" w:rsidR="002309C3" w:rsidRPr="002309C3" w:rsidRDefault="00283474" w:rsidP="00A040E2">
      <w:pPr>
        <w:jc w:val="center"/>
        <w:rPr>
          <w:rFonts w:ascii="Arial" w:hAnsi="Arial"/>
        </w:rPr>
      </w:pPr>
      <w:r>
        <w:rPr>
          <w:rFonts w:ascii="Arial" w:hAnsi="Arial"/>
        </w:rPr>
        <w:t>G</w:t>
      </w:r>
      <w:r w:rsidR="002309C3" w:rsidRPr="002309C3">
        <w:rPr>
          <w:rFonts w:ascii="Arial" w:hAnsi="Arial"/>
        </w:rPr>
        <w:t>eneral Aviation Joint Steering Committee</w:t>
      </w:r>
    </w:p>
    <w:p w14:paraId="651C8F14" w14:textId="1E345AE8" w:rsidR="002309C3" w:rsidRPr="0037762F" w:rsidRDefault="002309C3" w:rsidP="0037762F">
      <w:pPr>
        <w:jc w:val="center"/>
        <w:rPr>
          <w:rFonts w:ascii="Arial" w:hAnsi="Arial"/>
        </w:rPr>
      </w:pPr>
      <w:r w:rsidRPr="002309C3">
        <w:rPr>
          <w:rFonts w:ascii="Arial" w:hAnsi="Arial"/>
        </w:rPr>
        <w:t>Loss of Control Working Group</w:t>
      </w:r>
      <w:r w:rsidR="0037762F">
        <w:rPr>
          <w:rFonts w:ascii="Arial" w:hAnsi="Arial"/>
        </w:rPr>
        <w:br/>
      </w:r>
      <w:r w:rsidRPr="002309C3">
        <w:rPr>
          <w:rFonts w:ascii="Arial" w:hAnsi="Arial"/>
          <w:b/>
          <w:u w:val="single"/>
        </w:rPr>
        <w:t>Outreach Guidance Document</w:t>
      </w:r>
    </w:p>
    <w:p w14:paraId="24D8CD6B" w14:textId="6A1447D1" w:rsidR="00A040E2" w:rsidRDefault="005519F8" w:rsidP="005519F8">
      <w:pPr>
        <w:ind w:left="28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="0037762F">
        <w:rPr>
          <w:rFonts w:ascii="Arial" w:hAnsi="Arial"/>
          <w:b/>
          <w:bCs/>
        </w:rPr>
        <w:t xml:space="preserve">  </w:t>
      </w:r>
      <w:r w:rsidR="00F3496D" w:rsidRPr="00F3496D">
        <w:rPr>
          <w:rFonts w:ascii="Arial" w:hAnsi="Arial"/>
          <w:b/>
          <w:bCs/>
        </w:rPr>
        <w:t>2019/06-07-20-1</w:t>
      </w:r>
      <w:r w:rsidR="00193770">
        <w:rPr>
          <w:rFonts w:ascii="Arial" w:hAnsi="Arial"/>
          <w:b/>
          <w:bCs/>
        </w:rPr>
        <w:t>6</w:t>
      </w:r>
      <w:r w:rsidR="00F3496D" w:rsidRPr="00F3496D">
        <w:rPr>
          <w:rFonts w:ascii="Arial" w:hAnsi="Arial"/>
          <w:b/>
          <w:bCs/>
        </w:rPr>
        <w:t>9(I</w:t>
      </w:r>
      <w:proofErr w:type="gramStart"/>
      <w:r w:rsidR="00F3496D" w:rsidRPr="00F3496D">
        <w:rPr>
          <w:rFonts w:ascii="Arial" w:hAnsi="Arial"/>
          <w:b/>
          <w:bCs/>
        </w:rPr>
        <w:t>)PP</w:t>
      </w:r>
      <w:proofErr w:type="gramEnd"/>
    </w:p>
    <w:p w14:paraId="40D6B168" w14:textId="77777777" w:rsidR="005519F8" w:rsidRPr="00D43BD2" w:rsidRDefault="005519F8" w:rsidP="00A040E2">
      <w:pPr>
        <w:ind w:firstLine="720"/>
        <w:jc w:val="center"/>
        <w:rPr>
          <w:rFonts w:ascii="Arial" w:hAnsi="Arial"/>
          <w:b/>
        </w:rPr>
      </w:pPr>
    </w:p>
    <w:p w14:paraId="651C8F15" w14:textId="77777777" w:rsidR="002309C3" w:rsidRDefault="002309C3">
      <w:pPr>
        <w:rPr>
          <w:rFonts w:ascii="Arial" w:hAnsi="Arial"/>
        </w:rPr>
      </w:pPr>
    </w:p>
    <w:p w14:paraId="651C8F16" w14:textId="77777777" w:rsidR="002309C3" w:rsidRPr="00804107" w:rsidRDefault="002309C3">
      <w:pPr>
        <w:rPr>
          <w:rFonts w:ascii="Arial" w:hAnsi="Arial"/>
        </w:rPr>
      </w:pPr>
      <w:r w:rsidRPr="00804107">
        <w:rPr>
          <w:rFonts w:ascii="Arial" w:hAnsi="Arial"/>
        </w:rPr>
        <w:t xml:space="preserve">This outreach guidance </w:t>
      </w:r>
      <w:proofErr w:type="gramStart"/>
      <w:r w:rsidRPr="00804107">
        <w:rPr>
          <w:rFonts w:ascii="Arial" w:hAnsi="Arial"/>
        </w:rPr>
        <w:t>is provided</w:t>
      </w:r>
      <w:proofErr w:type="gramEnd"/>
      <w:r w:rsidRPr="00804107">
        <w:rPr>
          <w:rFonts w:ascii="Arial" w:hAnsi="Arial"/>
        </w:rPr>
        <w:t xml:space="preserve"> to all FAA and aviation industry groups that are </w:t>
      </w:r>
      <w:bookmarkStart w:id="0" w:name="_GoBack"/>
      <w:bookmarkEnd w:id="0"/>
      <w:r w:rsidRPr="00804107">
        <w:rPr>
          <w:rFonts w:ascii="Arial" w:hAnsi="Arial"/>
        </w:rPr>
        <w:t>participating in outreach efforts sponsored by the General Aviation Joint Steering Committee (GAJSC).  It is important that all outreach on a given topic is coordinated and is free of conflicts.</w:t>
      </w:r>
      <w:r w:rsidR="00283474" w:rsidRPr="00804107">
        <w:rPr>
          <w:rFonts w:ascii="Arial" w:hAnsi="Arial"/>
        </w:rPr>
        <w:t xml:space="preserve">  Therefore, all outreach products should be in alignment with the outline and concepts listed below for this topic.</w:t>
      </w:r>
    </w:p>
    <w:p w14:paraId="651C8F17" w14:textId="77777777" w:rsidR="002309C3" w:rsidRDefault="002309C3">
      <w:pPr>
        <w:rPr>
          <w:rFonts w:ascii="Arial" w:hAnsi="Arial"/>
        </w:rPr>
      </w:pPr>
    </w:p>
    <w:p w14:paraId="651C8F18" w14:textId="387C093D" w:rsidR="0062332E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Outreach Month</w:t>
      </w:r>
      <w:r>
        <w:rPr>
          <w:rFonts w:ascii="Arial" w:hAnsi="Arial" w:cs="Arial"/>
          <w:b/>
        </w:rPr>
        <w:t xml:space="preserve">: </w:t>
      </w:r>
      <w:r w:rsidR="004534BD">
        <w:rPr>
          <w:rFonts w:ascii="Arial" w:hAnsi="Arial" w:cs="Arial"/>
          <w:b/>
        </w:rPr>
        <w:t xml:space="preserve"> </w:t>
      </w:r>
      <w:r w:rsidR="0037762F">
        <w:rPr>
          <w:rFonts w:ascii="Arial" w:hAnsi="Arial" w:cs="Arial"/>
          <w:b/>
        </w:rPr>
        <w:t>June</w:t>
      </w:r>
      <w:r w:rsidR="00193770">
        <w:rPr>
          <w:rFonts w:ascii="Arial" w:hAnsi="Arial" w:cs="Arial"/>
          <w:b/>
        </w:rPr>
        <w:t xml:space="preserve"> </w:t>
      </w:r>
      <w:r w:rsidR="00843FD7">
        <w:rPr>
          <w:rFonts w:ascii="Arial" w:hAnsi="Arial" w:cs="Arial"/>
          <w:b/>
        </w:rPr>
        <w:t>2020</w:t>
      </w:r>
    </w:p>
    <w:p w14:paraId="651C8F19" w14:textId="77777777" w:rsidR="0062332E" w:rsidRPr="00804107" w:rsidRDefault="0062332E" w:rsidP="00592FD7">
      <w:pPr>
        <w:spacing w:after="120"/>
        <w:rPr>
          <w:rFonts w:ascii="Arial" w:hAnsi="Arial" w:cs="Arial"/>
          <w:b/>
          <w:sz w:val="16"/>
          <w:szCs w:val="16"/>
        </w:rPr>
      </w:pPr>
    </w:p>
    <w:p w14:paraId="651C8F1A" w14:textId="6DE37B71" w:rsidR="00592FD7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Topic</w:t>
      </w:r>
      <w:r>
        <w:rPr>
          <w:rFonts w:ascii="Arial" w:hAnsi="Arial" w:cs="Arial"/>
          <w:b/>
        </w:rPr>
        <w:t>:</w:t>
      </w:r>
      <w:r w:rsidR="00592FD7" w:rsidRPr="00592FD7">
        <w:rPr>
          <w:rFonts w:ascii="Arial" w:hAnsi="Arial" w:cs="Arial"/>
          <w:b/>
        </w:rPr>
        <w:t xml:space="preserve"> </w:t>
      </w:r>
      <w:r w:rsidR="0037762F">
        <w:rPr>
          <w:rFonts w:ascii="Arial" w:hAnsi="Arial" w:cs="Arial"/>
          <w:b/>
        </w:rPr>
        <w:t>After-market Safety Equipment</w:t>
      </w:r>
      <w:r w:rsidR="00592FD7" w:rsidRPr="00592FD7">
        <w:rPr>
          <w:rFonts w:ascii="Arial" w:hAnsi="Arial" w:cs="Arial"/>
          <w:b/>
        </w:rPr>
        <w:t xml:space="preserve"> </w:t>
      </w:r>
      <w:r w:rsidR="006E0769">
        <w:rPr>
          <w:rFonts w:ascii="Arial" w:hAnsi="Arial" w:cs="Arial"/>
          <w:b/>
        </w:rPr>
        <w:t>– GAJSC SE 2, 22, 25, 37, 48, and 49</w:t>
      </w:r>
    </w:p>
    <w:p w14:paraId="651C8F1C" w14:textId="6D98E732" w:rsidR="00BE44C8" w:rsidRDefault="00B27214" w:rsidP="00BE44C8">
      <w:pPr>
        <w:rPr>
          <w:rFonts w:ascii="Arial" w:hAnsi="Arial" w:cs="Arial"/>
          <w:b/>
        </w:rPr>
      </w:pPr>
      <w:r w:rsidRPr="00B27214">
        <w:rPr>
          <w:rFonts w:ascii="Arial" w:hAnsi="Arial" w:cs="Arial"/>
        </w:rPr>
        <w:t xml:space="preserve">The FAA and industry will conduct a public education campaign emphasizing the </w:t>
      </w:r>
      <w:r w:rsidR="009348E7">
        <w:rPr>
          <w:rFonts w:ascii="Arial" w:hAnsi="Arial" w:cs="Arial"/>
        </w:rPr>
        <w:t>advantages of equipping with after-market safety equipment.</w:t>
      </w:r>
    </w:p>
    <w:p w14:paraId="651C8F1D" w14:textId="77777777" w:rsidR="00B27214" w:rsidRDefault="00B27214" w:rsidP="00BE44C8">
      <w:pPr>
        <w:rPr>
          <w:rFonts w:ascii="Arial" w:hAnsi="Arial" w:cs="Arial"/>
          <w:b/>
          <w:u w:val="single"/>
        </w:rPr>
      </w:pPr>
    </w:p>
    <w:p w14:paraId="651C8F1E" w14:textId="77777777" w:rsidR="00735AAE" w:rsidRDefault="00F15A07" w:rsidP="007B239D">
      <w:pPr>
        <w:rPr>
          <w:rFonts w:ascii="Arial" w:hAnsi="Arial" w:cs="Arial"/>
          <w:b/>
        </w:rPr>
      </w:pPr>
      <w:r w:rsidRPr="00BE44C8">
        <w:rPr>
          <w:rFonts w:ascii="Arial" w:hAnsi="Arial" w:cs="Arial"/>
          <w:b/>
          <w:u w:val="single"/>
        </w:rPr>
        <w:t>Background</w:t>
      </w:r>
      <w:r>
        <w:rPr>
          <w:rFonts w:ascii="Arial" w:hAnsi="Arial" w:cs="Arial"/>
          <w:b/>
        </w:rPr>
        <w:t xml:space="preserve">:  </w:t>
      </w:r>
    </w:p>
    <w:p w14:paraId="651C8F1F" w14:textId="77777777" w:rsidR="007B239D" w:rsidRDefault="007B239D" w:rsidP="007B239D">
      <w:pPr>
        <w:rPr>
          <w:rFonts w:ascii="Arial" w:hAnsi="Arial" w:cs="Arial"/>
          <w:b/>
        </w:rPr>
      </w:pPr>
    </w:p>
    <w:p w14:paraId="52561A8C" w14:textId="0F8A2F33" w:rsidR="0037762F" w:rsidRPr="007B239D" w:rsidRDefault="0037762F" w:rsidP="007B2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GAJSC feel that installation and use of after-market safety equipment can significantly reduce the likelihood of some general aviation accidents.  The committee are particularly interested in angle of attack indicators, </w:t>
      </w:r>
      <w:proofErr w:type="gramStart"/>
      <w:r>
        <w:rPr>
          <w:rFonts w:ascii="Arial" w:hAnsi="Arial" w:cs="Arial"/>
        </w:rPr>
        <w:t>engine monitoring</w:t>
      </w:r>
      <w:proofErr w:type="gramEnd"/>
      <w:r>
        <w:rPr>
          <w:rFonts w:ascii="Arial" w:hAnsi="Arial" w:cs="Arial"/>
        </w:rPr>
        <w:t xml:space="preserve"> equipment, enhanced and synthetic vision systems.  They also support reducing regulatory burdens on installation and certification of safety equipment installations. </w:t>
      </w:r>
    </w:p>
    <w:p w14:paraId="651C8F23" w14:textId="77777777" w:rsidR="00B27214" w:rsidRDefault="00B27214">
      <w:pPr>
        <w:rPr>
          <w:sz w:val="22"/>
          <w:szCs w:val="22"/>
        </w:rPr>
      </w:pPr>
    </w:p>
    <w:p w14:paraId="651C8F24" w14:textId="77777777" w:rsidR="00283474" w:rsidRPr="0062332E" w:rsidRDefault="0062332E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Teaching Points:</w:t>
      </w:r>
    </w:p>
    <w:p w14:paraId="651C8F25" w14:textId="77777777" w:rsidR="0062332E" w:rsidRDefault="0062332E">
      <w:pPr>
        <w:rPr>
          <w:rFonts w:ascii="Arial" w:hAnsi="Arial"/>
        </w:rPr>
      </w:pPr>
    </w:p>
    <w:p w14:paraId="651C8F26" w14:textId="0838BDD4" w:rsidR="00592FD7" w:rsidRDefault="0037762F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number of technologies have proven useful in reducing the likelihood of general aviation accidents.</w:t>
      </w:r>
    </w:p>
    <w:p w14:paraId="03D729D0" w14:textId="2F8507BF" w:rsidR="0037762F" w:rsidRDefault="0037762F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 with all technologies, pilots must be thoroughly familiar with limitations and proper operation of the equipment.</w:t>
      </w:r>
    </w:p>
    <w:p w14:paraId="651C8F27" w14:textId="62CB4946" w:rsidR="007B239D" w:rsidRDefault="0037762F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FAA recognizes that reducing regulatory burden can result in increased safety equipment installation and use. </w:t>
      </w:r>
    </w:p>
    <w:p w14:paraId="651C8F28" w14:textId="4D05E43E" w:rsidR="00BE44C8" w:rsidRDefault="0037762F" w:rsidP="00BE44C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Pilot proficiency is still the most profound influence on flight safety.</w:t>
      </w:r>
    </w:p>
    <w:p w14:paraId="651C8F2A" w14:textId="77777777" w:rsidR="00BE2763" w:rsidRDefault="00BE2763" w:rsidP="00BE2763">
      <w:pPr>
        <w:rPr>
          <w:rFonts w:ascii="Arial" w:hAnsi="Arial"/>
        </w:rPr>
      </w:pPr>
    </w:p>
    <w:p w14:paraId="651C8F2B" w14:textId="77777777" w:rsidR="002C5EC8" w:rsidRDefault="002C5EC8" w:rsidP="00BE2763">
      <w:pPr>
        <w:rPr>
          <w:rFonts w:ascii="Arial" w:hAnsi="Arial"/>
          <w:b/>
          <w:u w:val="single"/>
        </w:rPr>
      </w:pPr>
    </w:p>
    <w:p w14:paraId="651C8F2C" w14:textId="77777777" w:rsidR="00804107" w:rsidRPr="0062332E" w:rsidRDefault="00BE2763" w:rsidP="00BE2763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References:</w:t>
      </w:r>
    </w:p>
    <w:p w14:paraId="651C8F2D" w14:textId="4D8F0ACE" w:rsidR="00BE2763" w:rsidRDefault="0037762F" w:rsidP="00BE276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E666C">
        <w:rPr>
          <w:rFonts w:ascii="Arial" w:hAnsi="Arial"/>
          <w:b/>
          <w:bCs/>
          <w:iCs/>
        </w:rPr>
        <w:t>Press Release</w:t>
      </w:r>
      <w:r>
        <w:rPr>
          <w:rFonts w:ascii="Arial" w:hAnsi="Arial"/>
          <w:b/>
          <w:bCs/>
          <w:i/>
          <w:iCs/>
        </w:rPr>
        <w:t xml:space="preserve"> – FAA Clears Path for Installation of Angle of Attack Indicators in Small Aircraft</w:t>
      </w:r>
      <w:r w:rsidR="00FE666C">
        <w:rPr>
          <w:rFonts w:ascii="Arial" w:hAnsi="Arial"/>
          <w:b/>
          <w:bCs/>
          <w:i/>
          <w:iCs/>
        </w:rPr>
        <w:br/>
      </w:r>
    </w:p>
    <w:p w14:paraId="47572B43" w14:textId="1389BF86" w:rsidR="00F65854" w:rsidRPr="00FE666C" w:rsidRDefault="00A81404" w:rsidP="00F65854">
      <w:pPr>
        <w:numPr>
          <w:ilvl w:val="1"/>
          <w:numId w:val="3"/>
        </w:numPr>
        <w:spacing w:after="345"/>
        <w:rPr>
          <w:rFonts w:ascii="Arial" w:hAnsi="Arial" w:cs="Arial"/>
        </w:rPr>
      </w:pPr>
      <w:hyperlink w:history="1">
        <w:r w:rsidR="00F65854" w:rsidRPr="00365474">
          <w:rPr>
            <w:rStyle w:val="Hyperlink"/>
            <w:rFonts w:ascii="Arial" w:hAnsi="Arial" w:cs="Arial"/>
          </w:rPr>
          <w:t>http://</w:t>
        </w:r>
      </w:hyperlink>
      <w:hyperlink r:id="rId12" w:history="1">
        <w:r w:rsidR="00F65854" w:rsidRPr="0037762F">
          <w:rPr>
            <w:rStyle w:val="Hyperlink"/>
            <w:rFonts w:ascii="Arial" w:hAnsi="Arial" w:cs="Arial"/>
          </w:rPr>
          <w:t>www.faa.gov/news/press_releases/news_story.cfm?newsid=15714</w:t>
        </w:r>
      </w:hyperlink>
    </w:p>
    <w:p w14:paraId="732E4DE4" w14:textId="77777777" w:rsidR="00FE666C" w:rsidRPr="00FE666C" w:rsidRDefault="00FE666C" w:rsidP="00FE666C">
      <w:pPr>
        <w:numPr>
          <w:ilvl w:val="0"/>
          <w:numId w:val="3"/>
        </w:numPr>
        <w:spacing w:after="345"/>
        <w:rPr>
          <w:rFonts w:ascii="Arial" w:hAnsi="Arial" w:cs="Arial"/>
        </w:rPr>
      </w:pPr>
      <w:r w:rsidRPr="00FE666C">
        <w:rPr>
          <w:rFonts w:ascii="Arial" w:hAnsi="Arial" w:cs="Arial"/>
          <w:b/>
          <w:lang w:val="en"/>
        </w:rPr>
        <w:t>GAJSC Documents and Reports</w:t>
      </w:r>
    </w:p>
    <w:p w14:paraId="12159559" w14:textId="34A3C7BF" w:rsidR="005519F8" w:rsidRPr="00FE666C" w:rsidRDefault="00A81404" w:rsidP="00FE666C">
      <w:pPr>
        <w:numPr>
          <w:ilvl w:val="1"/>
          <w:numId w:val="3"/>
        </w:numPr>
        <w:spacing w:after="345"/>
        <w:rPr>
          <w:rFonts w:ascii="Arial" w:hAnsi="Arial" w:cs="Arial"/>
        </w:rPr>
      </w:pPr>
      <w:hyperlink r:id="rId13" w:history="1">
        <w:r w:rsidR="00FE666C" w:rsidRPr="00365474">
          <w:rPr>
            <w:rStyle w:val="Hyperlink"/>
          </w:rPr>
          <w:t>http://www.gajsc.org/document-center/</w:t>
        </w:r>
      </w:hyperlink>
    </w:p>
    <w:p w14:paraId="0F222995" w14:textId="77777777" w:rsidR="00FE666C" w:rsidRDefault="00FE666C" w:rsidP="00F25A7F">
      <w:pPr>
        <w:pStyle w:val="ListParagraph"/>
        <w:rPr>
          <w:rFonts w:ascii="Arial" w:hAnsi="Arial" w:cs="Arial"/>
        </w:rPr>
      </w:pPr>
    </w:p>
    <w:p w14:paraId="0FC9EB9F" w14:textId="77777777" w:rsidR="00B13952" w:rsidRDefault="0062332E" w:rsidP="000C5542">
      <w:pPr>
        <w:rPr>
          <w:rFonts w:ascii="Arial" w:hAnsi="Arial"/>
        </w:rPr>
      </w:pPr>
      <w:r w:rsidRPr="0062332E">
        <w:rPr>
          <w:rFonts w:ascii="Arial" w:hAnsi="Arial"/>
          <w:b/>
          <w:u w:val="single"/>
        </w:rPr>
        <w:lastRenderedPageBreak/>
        <w:t>IMPORTANT</w:t>
      </w:r>
      <w:r>
        <w:rPr>
          <w:rFonts w:ascii="Arial" w:hAnsi="Arial"/>
        </w:rPr>
        <w:t xml:space="preserve"> – Once you have completed outreach on this topic, p</w:t>
      </w:r>
      <w:r w:rsidR="00B678C1">
        <w:rPr>
          <w:rFonts w:ascii="Arial" w:hAnsi="Arial"/>
        </w:rPr>
        <w:t xml:space="preserve">lease help us track the outreach you have done by </w:t>
      </w:r>
      <w:r w:rsidR="00C76A72">
        <w:rPr>
          <w:rFonts w:ascii="Arial" w:hAnsi="Arial"/>
        </w:rPr>
        <w:t>e</w:t>
      </w:r>
      <w:r w:rsidR="000C1FE4">
        <w:rPr>
          <w:rFonts w:ascii="Arial" w:hAnsi="Arial"/>
        </w:rPr>
        <w:t>ntering a PTRS record.</w:t>
      </w:r>
      <w:r>
        <w:rPr>
          <w:rFonts w:ascii="Arial" w:hAnsi="Arial"/>
        </w:rPr>
        <w:t xml:space="preserve"> </w:t>
      </w:r>
    </w:p>
    <w:p w14:paraId="651C8F34" w14:textId="4873712F" w:rsidR="00B678C1" w:rsidRDefault="0062332E" w:rsidP="000C554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51C8F35" w14:textId="49D05D60" w:rsidR="00D36F7F" w:rsidRDefault="00B13952" w:rsidP="000C5542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599B094F" wp14:editId="1FB8FBD0">
            <wp:extent cx="59436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8F36" w14:textId="77777777" w:rsidR="008604CA" w:rsidRPr="008604CA" w:rsidRDefault="008604CA" w:rsidP="008604CA">
      <w:pPr>
        <w:rPr>
          <w:rFonts w:ascii="Arial" w:hAnsi="Arial" w:cs="Arial"/>
          <w:b/>
        </w:rPr>
      </w:pPr>
      <w:r w:rsidRPr="008604CA">
        <w:rPr>
          <w:rFonts w:ascii="Arial" w:hAnsi="Arial" w:cs="Arial"/>
          <w:b/>
        </w:rPr>
        <w:tab/>
      </w:r>
    </w:p>
    <w:p w14:paraId="651C8F37" w14:textId="5EE00CE7" w:rsidR="000C1FE4" w:rsidRPr="00C76A72" w:rsidRDefault="000C1FE4" w:rsidP="000C5542">
      <w:pPr>
        <w:rPr>
          <w:rFonts w:ascii="Arial" w:hAnsi="Arial"/>
        </w:rPr>
      </w:pPr>
    </w:p>
    <w:sectPr w:rsidR="000C1FE4" w:rsidRPr="00C76A72" w:rsidSect="008041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353B" w14:textId="77777777" w:rsidR="00A81404" w:rsidRDefault="00A81404" w:rsidP="00283474">
      <w:r>
        <w:separator/>
      </w:r>
    </w:p>
  </w:endnote>
  <w:endnote w:type="continuationSeparator" w:id="0">
    <w:p w14:paraId="1CCF700D" w14:textId="77777777" w:rsidR="00A81404" w:rsidRDefault="00A81404" w:rsidP="002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0" w14:textId="77777777"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1" w14:textId="16143E2C" w:rsidR="001C6C55" w:rsidRPr="00804107" w:rsidRDefault="001C6C55">
    <w:pPr>
      <w:pStyle w:val="Footer"/>
      <w:rPr>
        <w:rFonts w:ascii="Arial" w:hAnsi="Arial" w:cs="Arial"/>
        <w:sz w:val="20"/>
        <w:szCs w:val="20"/>
      </w:rPr>
    </w:pPr>
    <w:r w:rsidRPr="00804107">
      <w:rPr>
        <w:rFonts w:ascii="Arial" w:hAnsi="Arial" w:cs="Arial"/>
        <w:sz w:val="20"/>
        <w:szCs w:val="20"/>
      </w:rPr>
      <w:fldChar w:fldCharType="begin"/>
    </w:r>
    <w:r w:rsidRPr="00804107">
      <w:rPr>
        <w:rFonts w:ascii="Arial" w:hAnsi="Arial" w:cs="Arial"/>
        <w:sz w:val="20"/>
        <w:szCs w:val="20"/>
      </w:rPr>
      <w:instrText xml:space="preserve"> DATE \@ "M/d/yy" </w:instrText>
    </w:r>
    <w:r w:rsidRPr="00804107">
      <w:rPr>
        <w:rFonts w:ascii="Arial" w:hAnsi="Arial" w:cs="Arial"/>
        <w:sz w:val="20"/>
        <w:szCs w:val="20"/>
      </w:rPr>
      <w:fldChar w:fldCharType="separate"/>
    </w:r>
    <w:r w:rsidR="00193770">
      <w:rPr>
        <w:rFonts w:ascii="Arial" w:hAnsi="Arial" w:cs="Arial"/>
        <w:noProof/>
        <w:sz w:val="20"/>
        <w:szCs w:val="20"/>
      </w:rPr>
      <w:t>7/19/19</w:t>
    </w:r>
    <w:r w:rsidRPr="00804107">
      <w:rPr>
        <w:rFonts w:ascii="Arial" w:hAnsi="Arial" w:cs="Arial"/>
        <w:sz w:val="20"/>
        <w:szCs w:val="20"/>
      </w:rPr>
      <w:fldChar w:fldCharType="end"/>
    </w:r>
    <w:r w:rsidRPr="00804107">
      <w:rPr>
        <w:rFonts w:ascii="Arial" w:hAnsi="Arial" w:cs="Arial"/>
        <w:sz w:val="20"/>
        <w:szCs w:val="20"/>
      </w:rPr>
      <w:tab/>
    </w:r>
    <w:r w:rsidRPr="00804107">
      <w:rPr>
        <w:rFonts w:ascii="Arial" w:hAnsi="Arial" w:cs="Arial"/>
        <w:sz w:val="20"/>
        <w:szCs w:val="20"/>
      </w:rPr>
      <w:tab/>
      <w:t xml:space="preserve">Page </w:t>
    </w:r>
    <w:r w:rsidRPr="00804107">
      <w:rPr>
        <w:rStyle w:val="PageNumber"/>
        <w:rFonts w:ascii="Arial" w:hAnsi="Arial" w:cs="Arial"/>
        <w:sz w:val="20"/>
        <w:szCs w:val="20"/>
      </w:rPr>
      <w:fldChar w:fldCharType="begin"/>
    </w:r>
    <w:r w:rsidRPr="008041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107">
      <w:rPr>
        <w:rStyle w:val="PageNumber"/>
        <w:rFonts w:ascii="Arial" w:hAnsi="Arial" w:cs="Arial"/>
        <w:sz w:val="20"/>
        <w:szCs w:val="20"/>
      </w:rPr>
      <w:fldChar w:fldCharType="separate"/>
    </w:r>
    <w:r w:rsidR="00193770">
      <w:rPr>
        <w:rStyle w:val="PageNumber"/>
        <w:rFonts w:ascii="Arial" w:hAnsi="Arial" w:cs="Arial"/>
        <w:noProof/>
        <w:sz w:val="20"/>
        <w:szCs w:val="20"/>
      </w:rPr>
      <w:t>2</w:t>
    </w:r>
    <w:r w:rsidRPr="0080410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3" w14:textId="77777777"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4EF9" w14:textId="77777777" w:rsidR="00A81404" w:rsidRDefault="00A81404" w:rsidP="00283474">
      <w:r>
        <w:separator/>
      </w:r>
    </w:p>
  </w:footnote>
  <w:footnote w:type="continuationSeparator" w:id="0">
    <w:p w14:paraId="2780CBEE" w14:textId="77777777" w:rsidR="00A81404" w:rsidRDefault="00A81404" w:rsidP="0028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3E" w14:textId="77777777"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3F" w14:textId="77777777" w:rsidR="001C6C55" w:rsidRDefault="001C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2" w14:textId="77777777"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503"/>
    <w:multiLevelType w:val="hybridMultilevel"/>
    <w:tmpl w:val="79D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7FF"/>
    <w:multiLevelType w:val="multilevel"/>
    <w:tmpl w:val="02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5054"/>
    <w:multiLevelType w:val="hybridMultilevel"/>
    <w:tmpl w:val="B916F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1FCB"/>
    <w:multiLevelType w:val="hybridMultilevel"/>
    <w:tmpl w:val="66B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24F6B"/>
    <w:multiLevelType w:val="hybridMultilevel"/>
    <w:tmpl w:val="21147134"/>
    <w:lvl w:ilvl="0" w:tplc="78E2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01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8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A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2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E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AF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6F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D17AD3"/>
    <w:multiLevelType w:val="hybridMultilevel"/>
    <w:tmpl w:val="AF2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3"/>
    <w:rsid w:val="000915B6"/>
    <w:rsid w:val="000B310E"/>
    <w:rsid w:val="000C1FE4"/>
    <w:rsid w:val="000C5542"/>
    <w:rsid w:val="001265A0"/>
    <w:rsid w:val="001356B6"/>
    <w:rsid w:val="001514DB"/>
    <w:rsid w:val="00156835"/>
    <w:rsid w:val="00193770"/>
    <w:rsid w:val="001C37C2"/>
    <w:rsid w:val="001C44D1"/>
    <w:rsid w:val="001C6C55"/>
    <w:rsid w:val="001E2D0C"/>
    <w:rsid w:val="001F7808"/>
    <w:rsid w:val="002309C3"/>
    <w:rsid w:val="002344D9"/>
    <w:rsid w:val="00256E5D"/>
    <w:rsid w:val="002822C8"/>
    <w:rsid w:val="0028231D"/>
    <w:rsid w:val="00283474"/>
    <w:rsid w:val="002C5EC8"/>
    <w:rsid w:val="0031306E"/>
    <w:rsid w:val="003404C9"/>
    <w:rsid w:val="00371282"/>
    <w:rsid w:val="0037762F"/>
    <w:rsid w:val="00397710"/>
    <w:rsid w:val="003B3FF3"/>
    <w:rsid w:val="0042558A"/>
    <w:rsid w:val="0043778A"/>
    <w:rsid w:val="004534BD"/>
    <w:rsid w:val="004550A5"/>
    <w:rsid w:val="00474E3F"/>
    <w:rsid w:val="004D190E"/>
    <w:rsid w:val="004F2A87"/>
    <w:rsid w:val="00501422"/>
    <w:rsid w:val="00547D66"/>
    <w:rsid w:val="005519F8"/>
    <w:rsid w:val="005559A3"/>
    <w:rsid w:val="00580B3C"/>
    <w:rsid w:val="00585ABD"/>
    <w:rsid w:val="00585C97"/>
    <w:rsid w:val="00592FD7"/>
    <w:rsid w:val="005937AA"/>
    <w:rsid w:val="00596C7F"/>
    <w:rsid w:val="005A30DA"/>
    <w:rsid w:val="005E62E4"/>
    <w:rsid w:val="0060564B"/>
    <w:rsid w:val="0062332E"/>
    <w:rsid w:val="00637300"/>
    <w:rsid w:val="00652F0C"/>
    <w:rsid w:val="006B0ECC"/>
    <w:rsid w:val="006D27FF"/>
    <w:rsid w:val="006E0769"/>
    <w:rsid w:val="00714427"/>
    <w:rsid w:val="00721856"/>
    <w:rsid w:val="00735AAE"/>
    <w:rsid w:val="0073681C"/>
    <w:rsid w:val="007761F8"/>
    <w:rsid w:val="007967D1"/>
    <w:rsid w:val="007A13E9"/>
    <w:rsid w:val="007B239D"/>
    <w:rsid w:val="007C377E"/>
    <w:rsid w:val="00804107"/>
    <w:rsid w:val="00843FD7"/>
    <w:rsid w:val="008559E3"/>
    <w:rsid w:val="008604CA"/>
    <w:rsid w:val="00882621"/>
    <w:rsid w:val="008A318C"/>
    <w:rsid w:val="008A3921"/>
    <w:rsid w:val="00911BEC"/>
    <w:rsid w:val="009348E7"/>
    <w:rsid w:val="009B0AB7"/>
    <w:rsid w:val="009B567A"/>
    <w:rsid w:val="009C19A5"/>
    <w:rsid w:val="00A040E2"/>
    <w:rsid w:val="00A56C4E"/>
    <w:rsid w:val="00A81404"/>
    <w:rsid w:val="00AA06EB"/>
    <w:rsid w:val="00AF5EA4"/>
    <w:rsid w:val="00B061D9"/>
    <w:rsid w:val="00B13952"/>
    <w:rsid w:val="00B27214"/>
    <w:rsid w:val="00B554C8"/>
    <w:rsid w:val="00B678C1"/>
    <w:rsid w:val="00B76CF1"/>
    <w:rsid w:val="00BB03AB"/>
    <w:rsid w:val="00BC2BE1"/>
    <w:rsid w:val="00BE2763"/>
    <w:rsid w:val="00BE2C55"/>
    <w:rsid w:val="00BE44C8"/>
    <w:rsid w:val="00C4520D"/>
    <w:rsid w:val="00C456D8"/>
    <w:rsid w:val="00C73361"/>
    <w:rsid w:val="00C74D4F"/>
    <w:rsid w:val="00C766C5"/>
    <w:rsid w:val="00C76A72"/>
    <w:rsid w:val="00C95315"/>
    <w:rsid w:val="00D36F7F"/>
    <w:rsid w:val="00D43BD2"/>
    <w:rsid w:val="00D5455A"/>
    <w:rsid w:val="00D80376"/>
    <w:rsid w:val="00DD211B"/>
    <w:rsid w:val="00DF1666"/>
    <w:rsid w:val="00E03D8D"/>
    <w:rsid w:val="00E11A2C"/>
    <w:rsid w:val="00E860DB"/>
    <w:rsid w:val="00E86C24"/>
    <w:rsid w:val="00E90BBC"/>
    <w:rsid w:val="00EC62A6"/>
    <w:rsid w:val="00EF4ACC"/>
    <w:rsid w:val="00F15A07"/>
    <w:rsid w:val="00F235D0"/>
    <w:rsid w:val="00F25A7F"/>
    <w:rsid w:val="00F3496D"/>
    <w:rsid w:val="00F47759"/>
    <w:rsid w:val="00F65854"/>
    <w:rsid w:val="00FA7FE4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C8F11"/>
  <w14:defaultImageDpi w14:val="300"/>
  <w15:docId w15:val="{441879C2-3236-4C92-B675-CD59BA3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74"/>
  </w:style>
  <w:style w:type="paragraph" w:styleId="Footer">
    <w:name w:val="footer"/>
    <w:basedOn w:val="Normal"/>
    <w:link w:val="Foot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74"/>
  </w:style>
  <w:style w:type="paragraph" w:styleId="ListParagraph">
    <w:name w:val="List Paragraph"/>
    <w:basedOn w:val="Normal"/>
    <w:uiPriority w:val="34"/>
    <w:qFormat/>
    <w:rsid w:val="002834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107"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8"/>
    <w:rPr>
      <w:b/>
      <w:bCs/>
      <w:sz w:val="20"/>
      <w:szCs w:val="20"/>
    </w:rPr>
  </w:style>
  <w:style w:type="paragraph" w:customStyle="1" w:styleId="Default">
    <w:name w:val="Default"/>
    <w:rsid w:val="007C37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2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6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1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ajsc.org/document-cent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faa.gov/news/press_releases/news_story.cfm?newsid=157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9566-cf42-4ce7-aa7c-2469c3d4502e">5YDFD77UPU3F-311-1591</_dlc_DocId>
    <_dlc_DocIdUrl xmlns="04289566-cf42-4ce7-aa7c-2469c3d4502e">
      <Url>https://avssp.faa.gov/avs/afsfaast/_layouts/15/DocIdRedir.aspx?ID=5YDFD77UPU3F-311-1591</Url>
      <Description>5YDFD77UPU3F-311-1591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DB223F4C0E4A8408399FFA4EDA33" ma:contentTypeVersion="1" ma:contentTypeDescription="Create a new document." ma:contentTypeScope="" ma:versionID="8cf0604ad459b8fbe4c7c6e3c0a7056a">
  <xsd:schema xmlns:xsd="http://www.w3.org/2001/XMLSchema" xmlns:xs="http://www.w3.org/2001/XMLSchema" xmlns:p="http://schemas.microsoft.com/office/2006/metadata/properties" xmlns:ns2="04289566-cf42-4ce7-aa7c-2469c3d4502e" xmlns:ns3="http://schemas.microsoft.com/sharepoint/v4" targetNamespace="http://schemas.microsoft.com/office/2006/metadata/properties" ma:root="true" ma:fieldsID="c41c0327a79c0cd165a16d12bde6f1c8" ns2:_="" ns3:_="">
    <xsd:import namespace="04289566-cf42-4ce7-aa7c-2469c3d450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9566-cf42-4ce7-aa7c-2469c3d450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5A46-8112-412E-BD42-FE29CEE752E2}">
  <ds:schemaRefs>
    <ds:schemaRef ds:uri="http://schemas.microsoft.com/office/2006/metadata/properties"/>
    <ds:schemaRef ds:uri="http://schemas.microsoft.com/office/infopath/2007/PartnerControls"/>
    <ds:schemaRef ds:uri="04289566-cf42-4ce7-aa7c-2469c3d4502e"/>
    <ds:schemaRef ds:uri="ecb542af-4174-46c9-a9bc-633fc49e6e57"/>
  </ds:schemaRefs>
</ds:datastoreItem>
</file>

<file path=customXml/itemProps2.xml><?xml version="1.0" encoding="utf-8"?>
<ds:datastoreItem xmlns:ds="http://schemas.openxmlformats.org/officeDocument/2006/customXml" ds:itemID="{6DB9F161-2E5D-49D7-98A2-7BD721D53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977E98-824A-4756-9277-61EB3C7D4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BEBA2-B3ED-4B6B-B69F-91FE8AB339A9}"/>
</file>

<file path=customXml/itemProps5.xml><?xml version="1.0" encoding="utf-8"?>
<ds:datastoreItem xmlns:ds="http://schemas.openxmlformats.org/officeDocument/2006/customXml" ds:itemID="{CEED99C4-535A-46B7-9610-50035C2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After-market Safety Equipment</dc:title>
  <dc:creator>Kevin Clover</dc:creator>
  <cp:lastModifiedBy>Steuernagle, John W (FAA)</cp:lastModifiedBy>
  <cp:revision>14</cp:revision>
  <dcterms:created xsi:type="dcterms:W3CDTF">2019-06-17T17:38:00Z</dcterms:created>
  <dcterms:modified xsi:type="dcterms:W3CDTF">2019-07-19T19:46:00Z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0x010100DD5FDB223F4C0E4A8408399FFA4EDA33</vt:lpwstr>
  </property>
  <property fmtid="{D5CDD505-2E9C-101B-9397-08002B2CF9AE}" pid="3" name="_dlc_DocIdItemGuid">
    <vt:lpwstr>0262ea9b-e048-408c-a456-90cc09abad09</vt:lpwstr>
  </property>
</Properties>
</file>